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SD Body Fixed-Cost Alternative Statement of Work</w:t>
      </w:r>
    </w:p>
    <w:p>
      <w:r>
        <w:t>Prepared by: Glow Pilots, a brand of Magister Digital AI</w:t>
      </w:r>
    </w:p>
    <w:p>
      <w:r>
        <w:t>Prepared for: SD Body, rebranding from Hormones + Wellness by SDB</w:t>
      </w:r>
    </w:p>
    <w:p>
      <w:r>
        <w:t>Primary contact: Dr. Shawn Vedamani</w:t>
      </w:r>
    </w:p>
    <w:p>
      <w:r>
        <w:t>Date: July 1, 2026</w:t>
      </w:r>
    </w:p>
    <w:p>
      <w:r>
        <w:t>Target approval window: before Dr. Shawn leaves for Europe on July 6, 2026</w:t>
      </w:r>
    </w:p>
    <w:p>
      <w:r>
        <w:t>Valid through: July 31, 2026</w:t>
      </w:r>
    </w:p>
    <w:p>
      <w:pPr>
        <w:pStyle w:val="Heading1"/>
      </w:pPr>
      <w:r>
        <w:t>1. Purpose</w:t>
      </w:r>
    </w:p>
    <w:p>
      <w:r>
        <w:t>This fixed-cost alternative is for Dr. Shawn and Dr. Alex if they want the marketing work without a revenue-share or performance-based compensation structure.</w:t>
      </w:r>
    </w:p>
    <w:p>
      <w:r>
        <w:t>It keeps the two decisions separate:</w:t>
      </w:r>
    </w:p>
    <w:p>
      <w:pPr>
        <w:pStyle w:val="ListBullet"/>
      </w:pPr>
      <w:r>
        <w:t>Marketing growth: this SOW.</w:t>
      </w:r>
    </w:p>
    <w:p>
      <w:pPr>
        <w:pStyle w:val="ListBullet"/>
      </w:pPr>
      <w:r>
        <w:t>Flowbots automation: separate lane, separate payment decision, separate invoice or agreement.</w:t>
      </w:r>
    </w:p>
    <w:p>
      <w:r>
        <w:t>The fixed-cost path removes revenue participation. SD Body pays defined service fees, owns ad spend in its own accounts, and keeps the automation conversation separate from the marketing agreement.</w:t>
      </w:r>
    </w:p>
    <w:p>
      <w:pPr>
        <w:pStyle w:val="Heading1"/>
      </w:pPr>
      <w:r>
        <w:t>2. Locations Covered</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E9E5DC"/>
          </w:tcPr>
          <w:p>
            <w:r>
              <w:rPr>
                <w:rFonts w:ascii="Aptos" w:hAnsi="Aptos"/>
                <w:b/>
                <w:sz w:val="18"/>
              </w:rPr>
              <w:t>Location</w:t>
            </w:r>
          </w:p>
        </w:tc>
        <w:tc>
          <w:tcPr>
            <w:tcW w:type="dxa" w:w="3360"/>
            <w:vAlign w:val="top"/>
            <w:shd w:fill="E9E5DC"/>
          </w:tcPr>
          <w:p>
            <w:r>
              <w:rPr>
                <w:rFonts w:ascii="Aptos" w:hAnsi="Aptos"/>
                <w:b/>
                <w:sz w:val="18"/>
              </w:rPr>
              <w:t>Address</w:t>
            </w:r>
          </w:p>
        </w:tc>
        <w:tc>
          <w:tcPr>
            <w:tcW w:type="dxa" w:w="3360"/>
            <w:vAlign w:val="top"/>
            <w:shd w:fill="E9E5DC"/>
          </w:tcPr>
          <w:p>
            <w:r>
              <w:rPr>
                <w:rFonts w:ascii="Aptos" w:hAnsi="Aptos"/>
                <w:b/>
                <w:sz w:val="18"/>
              </w:rPr>
              <w:t>Phone</w:t>
            </w:r>
          </w:p>
        </w:tc>
      </w:tr>
      <w:tr>
        <w:tc>
          <w:tcPr>
            <w:tcW w:type="dxa" w:w="3360"/>
            <w:vAlign w:val="top"/>
          </w:tcPr>
          <w:p>
            <w:r>
              <w:rPr>
                <w:rFonts w:ascii="Aptos" w:hAnsi="Aptos"/>
                <w:sz w:val="18"/>
              </w:rPr>
              <w:t>San Diego</w:t>
            </w:r>
          </w:p>
        </w:tc>
        <w:tc>
          <w:tcPr>
            <w:tcW w:type="dxa" w:w="3360"/>
            <w:vAlign w:val="top"/>
          </w:tcPr>
          <w:p>
            <w:r>
              <w:rPr>
                <w:rFonts w:ascii="Aptos" w:hAnsi="Aptos"/>
                <w:sz w:val="18"/>
              </w:rPr>
              <w:t>1747 Hancock St., Suite C, San Diego, CA 92101</w:t>
            </w:r>
          </w:p>
        </w:tc>
        <w:tc>
          <w:tcPr>
            <w:tcW w:type="dxa" w:w="3360"/>
            <w:vAlign w:val="top"/>
          </w:tcPr>
          <w:p>
            <w:r>
              <w:rPr>
                <w:rFonts w:ascii="Aptos" w:hAnsi="Aptos"/>
                <w:sz w:val="18"/>
              </w:rPr>
              <w:t>(619) 772-0252</w:t>
            </w:r>
          </w:p>
        </w:tc>
      </w:tr>
      <w:tr>
        <w:tc>
          <w:tcPr>
            <w:tcW w:type="dxa" w:w="3360"/>
            <w:vAlign w:val="top"/>
          </w:tcPr>
          <w:p>
            <w:r>
              <w:rPr>
                <w:rFonts w:ascii="Aptos" w:hAnsi="Aptos"/>
                <w:sz w:val="18"/>
              </w:rPr>
              <w:t>La Jolla</w:t>
            </w:r>
          </w:p>
        </w:tc>
        <w:tc>
          <w:tcPr>
            <w:tcW w:type="dxa" w:w="3360"/>
            <w:vAlign w:val="top"/>
          </w:tcPr>
          <w:p>
            <w:r>
              <w:rPr>
                <w:rFonts w:ascii="Aptos" w:hAnsi="Aptos"/>
                <w:sz w:val="18"/>
              </w:rPr>
              <w:t>7710 Fay Ave, La Jolla, CA 92037</w:t>
            </w:r>
          </w:p>
        </w:tc>
        <w:tc>
          <w:tcPr>
            <w:tcW w:type="dxa" w:w="3360"/>
            <w:vAlign w:val="top"/>
          </w:tcPr>
          <w:p>
            <w:r>
              <w:rPr>
                <w:rFonts w:ascii="Aptos" w:hAnsi="Aptos"/>
                <w:sz w:val="18"/>
              </w:rPr>
              <w:t>(858) 401-2383</w:t>
            </w:r>
          </w:p>
        </w:tc>
      </w:tr>
    </w:tbl>
    <w:p/>
    <w:p>
      <w:pPr>
        <w:pStyle w:val="Heading1"/>
      </w:pPr>
      <w:r>
        <w:t>3. Scope of Services</w:t>
      </w:r>
    </w:p>
    <w:p>
      <w:pPr>
        <w:pStyle w:val="Heading2"/>
      </w:pPr>
      <w:r>
        <w:t>3.1 Rebrand and Domain Migration</w:t>
      </w:r>
    </w:p>
    <w:p>
      <w:r>
        <w:t>Glow Pilots will protect the move from hormonesbysdb.com to sdbody.com.</w:t>
      </w:r>
    </w:p>
    <w:p>
      <w:r>
        <w:t>Included work:</w:t>
      </w:r>
    </w:p>
    <w:p>
      <w:pPr>
        <w:pStyle w:val="ListBullet"/>
      </w:pPr>
      <w:r>
        <w:t>Map existing hormonesbysdb.com URLs to the appropriate sdbody.com destinations.</w:t>
      </w:r>
    </w:p>
    <w:p>
      <w:pPr>
        <w:pStyle w:val="ListBullet"/>
      </w:pPr>
      <w:r>
        <w:t>Implement and test 301 redirects.</w:t>
      </w:r>
    </w:p>
    <w:p>
      <w:pPr>
        <w:pStyle w:val="ListBullet"/>
      </w:pPr>
      <w:r>
        <w:t>Set canonical tags where needed.</w:t>
      </w:r>
    </w:p>
    <w:p>
      <w:pPr>
        <w:pStyle w:val="ListBullet"/>
      </w:pPr>
      <w:r>
        <w:t>Re-verify Google Search Console and resubmit the sitemap.</w:t>
      </w:r>
    </w:p>
    <w:p>
      <w:pPr>
        <w:pStyle w:val="ListBullet"/>
      </w:pPr>
      <w:r>
        <w:t>Update citations and directory listings from the old domain and brand to SD Body and sdbody.com.</w:t>
      </w:r>
    </w:p>
    <w:p>
      <w:pPr>
        <w:pStyle w:val="ListBullet"/>
      </w:pPr>
      <w:r>
        <w:t>Coordinate Google Business Profile brand and domain updates for both locations.</w:t>
      </w:r>
    </w:p>
    <w:p>
      <w:pPr>
        <w:pStyle w:val="ListBullet"/>
      </w:pPr>
      <w:r>
        <w:t>Monitor rankings for 60 days after migration and fix migration issues identified in that window.</w:t>
      </w:r>
    </w:p>
    <w:p>
      <w:r>
        <w:t>Note: a rebrand can temporarily move rankings. The goal is to shorten and manage that transition, not promise that no movement will occur.</w:t>
      </w:r>
    </w:p>
    <w:p>
      <w:pPr>
        <w:pStyle w:val="Heading2"/>
      </w:pPr>
      <w:r>
        <w:t>3.2 Website and Service-Page Architecture</w:t>
      </w:r>
    </w:p>
    <w:p>
      <w:r>
        <w:t>Glow Pilots will build the site structure needed for both locations and the major service lines.</w:t>
      </w:r>
    </w:p>
    <w:p>
      <w:r>
        <w:t>Included work:</w:t>
      </w:r>
    </w:p>
    <w:p>
      <w:pPr>
        <w:pStyle w:val="ListBullet"/>
      </w:pPr>
      <w:r>
        <w:t>Website/rebrand launch build for SD Body.</w:t>
      </w:r>
    </w:p>
    <w:p>
      <w:pPr>
        <w:pStyle w:val="ListBullet"/>
      </w:pPr>
      <w:r>
        <w:t>Service pages for the men's, women's, and wellness service lines.</w:t>
      </w:r>
    </w:p>
    <w:p>
      <w:pPr>
        <w:pStyle w:val="ListBullet"/>
      </w:pPr>
      <w:r>
        <w:t>Location pages for San Diego and La Jolla.</w:t>
      </w:r>
    </w:p>
    <w:p>
      <w:pPr>
        <w:pStyle w:val="ListBullet"/>
      </w:pPr>
      <w:r>
        <w:t>Online booking integration on relevant pages.</w:t>
      </w:r>
    </w:p>
    <w:p>
      <w:pPr>
        <w:pStyle w:val="ListBullet"/>
      </w:pPr>
      <w:r>
        <w:t>Mobile-first build tested across common devices.</w:t>
      </w:r>
    </w:p>
    <w:p>
      <w:pPr>
        <w:pStyle w:val="ListBullet"/>
      </w:pPr>
      <w:r>
        <w:t>30-day post-launch defect warranty.</w:t>
      </w:r>
    </w:p>
    <w:p>
      <w:r>
        <w:t>Initial service coverage includes, at minimum:</w:t>
      </w:r>
    </w:p>
    <w:p>
      <w:pPr>
        <w:pStyle w:val="ListBullet"/>
      </w:pPr>
      <w:r>
        <w:t>Testosterone replacement therapy, low testosterone treatment, and men's hormone optimization.</w:t>
      </w:r>
    </w:p>
    <w:p>
      <w:pPr>
        <w:pStyle w:val="ListBullet"/>
      </w:pPr>
      <w:r>
        <w:t>Women's hormone replacement therapy, bioidentical hormone replacement therapy, menopause and perimenopause care, and women's testosterone therapy.</w:t>
      </w:r>
    </w:p>
    <w:p>
      <w:pPr>
        <w:pStyle w:val="ListBullet"/>
      </w:pPr>
      <w:r>
        <w:t>Hormone pellet therapy, injections, hair loss treatment, and broader wellness services where SD Body confirms they are offered.</w:t>
      </w:r>
    </w:p>
    <w:p>
      <w:pPr>
        <w:pStyle w:val="Heading2"/>
      </w:pPr>
      <w:r>
        <w:t>3.3 Local SEO and Google Business Profile</w:t>
      </w:r>
    </w:p>
    <w:p>
      <w:r>
        <w:t>Included work:</w:t>
      </w:r>
    </w:p>
    <w:p>
      <w:pPr>
        <w:pStyle w:val="ListBullet"/>
      </w:pPr>
      <w:r>
        <w:t>Confirm and optimize the Google Business Profile for each location.</w:t>
      </w:r>
    </w:p>
    <w:p>
      <w:pPr>
        <w:pStyle w:val="ListBullet"/>
      </w:pPr>
      <w:r>
        <w:t>Set categories, name, address, phone, domain, and location-page alignment.</w:t>
      </w:r>
    </w:p>
    <w:p>
      <w:pPr>
        <w:pStyle w:val="ListBullet"/>
      </w:pPr>
      <w:r>
        <w:t>Clean up core local citations for both locations.</w:t>
      </w:r>
    </w:p>
    <w:p>
      <w:pPr>
        <w:pStyle w:val="ListBullet"/>
      </w:pPr>
      <w:r>
        <w:t>Set up a review acquisition workflow for both locations.</w:t>
      </w:r>
    </w:p>
    <w:p>
      <w:pPr>
        <w:pStyle w:val="ListBullet"/>
      </w:pPr>
      <w:r>
        <w:t>Surface review proof on the website where appropriate.</w:t>
      </w:r>
    </w:p>
    <w:p>
      <w:pPr>
        <w:pStyle w:val="Heading2"/>
      </w:pPr>
      <w:r>
        <w:t>3.4 AI Search Visibility</w:t>
      </w:r>
    </w:p>
    <w:p>
      <w:r>
        <w:t>Included work:</w:t>
      </w:r>
    </w:p>
    <w:p>
      <w:pPr>
        <w:pStyle w:val="ListBullet"/>
      </w:pPr>
      <w:r>
        <w:t>Consolidate SD Body into one clear brand and domain signal.</w:t>
      </w:r>
    </w:p>
    <w:p>
      <w:pPr>
        <w:pStyle w:val="ListBullet"/>
      </w:pPr>
      <w:r>
        <w:t>Add Organization, MedicalClinic, local location schema, and provider schema where confirmed.</w:t>
      </w:r>
    </w:p>
    <w:p>
      <w:pPr>
        <w:pStyle w:val="ListBullet"/>
      </w:pPr>
      <w:r>
        <w:t>Build direct service explanations and FAQ content that can be cited by Google AI Overviews, ChatGPT, Perplexity, and similar answer engines.</w:t>
      </w:r>
    </w:p>
    <w:p>
      <w:pPr>
        <w:pStyle w:val="Heading2"/>
      </w:pPr>
      <w:r>
        <w:t>3.5 Authority and Links</w:t>
      </w:r>
    </w:p>
    <w:p>
      <w:r>
        <w:t>Included work:</w:t>
      </w:r>
    </w:p>
    <w:p>
      <w:pPr>
        <w:pStyle w:val="ListBullet"/>
      </w:pPr>
      <w:r>
        <w:t>Pursue focused local and medical authority opportunities.</w:t>
      </w:r>
    </w:p>
    <w:p>
      <w:pPr>
        <w:pStyle w:val="ListBullet"/>
      </w:pPr>
      <w:r>
        <w:t>Prioritize quality over volume.</w:t>
      </w:r>
    </w:p>
    <w:p>
      <w:pPr>
        <w:pStyle w:val="ListBullet"/>
      </w:pPr>
      <w:r>
        <w:t>Track authority work against the site migration, service-page buildout, and AI-citation goals.</w:t>
      </w:r>
    </w:p>
    <w:p>
      <w:pPr>
        <w:pStyle w:val="Heading2"/>
      </w:pPr>
      <w:r>
        <w:t>3.6 Provider Authority</w:t>
      </w:r>
    </w:p>
    <w:p>
      <w:r>
        <w:t>Included work:</w:t>
      </w:r>
    </w:p>
    <w:p>
      <w:pPr>
        <w:pStyle w:val="ListBullet"/>
      </w:pPr>
      <w:r>
        <w:t>Credentialed provider bio pages or sections for confirmed providers.</w:t>
      </w:r>
    </w:p>
    <w:p>
      <w:pPr>
        <w:pStyle w:val="ListBullet"/>
      </w:pPr>
      <w:r>
        <w:t>Physician/provider schema where credentials are confirmed.</w:t>
      </w:r>
    </w:p>
    <w:p>
      <w:pPr>
        <w:pStyle w:val="ListBullet"/>
      </w:pPr>
      <w:r>
        <w:t>Internal linking from relevant service pages to provider authority content.</w:t>
      </w:r>
    </w:p>
    <w:p>
      <w:r>
        <w:t>Provider details can be collected after signature and do not block sending this SOW.</w:t>
      </w:r>
    </w:p>
    <w:p>
      <w:pPr>
        <w:pStyle w:val="Heading2"/>
      </w:pPr>
      <w:r>
        <w:t>3.7 Paid Media Management</w:t>
      </w:r>
    </w:p>
    <w:p>
      <w:r>
        <w:t>Paid media is optional under the fixed-cost alternative.</w:t>
      </w:r>
    </w:p>
    <w:p>
      <w:r>
        <w:t>If Dr. Alex wants to hold paid advertising for now because SD Body is still receiving inherited patient flow from the prior company, SD Body can start with Option 1 below and leave Google/Meta inactive until the practice approves an ad budget.</w:t>
      </w:r>
    </w:p>
    <w:p>
      <w:r>
        <w:t>If SD Body activates paid media:</w:t>
      </w:r>
    </w:p>
    <w:p>
      <w:pPr>
        <w:pStyle w:val="ListBullet"/>
      </w:pPr>
      <w:r>
        <w:t>Google Ads and Meta ad spend are paid directly by SD Body through SD Body-owned ad accounts.</w:t>
      </w:r>
    </w:p>
    <w:p>
      <w:pPr>
        <w:pStyle w:val="ListBullet"/>
      </w:pPr>
      <w:r>
        <w:t>Glow Pilots manages the campaigns only for the networks selected below.</w:t>
      </w:r>
    </w:p>
    <w:p>
      <w:pPr>
        <w:pStyle w:val="ListBullet"/>
      </w:pPr>
      <w:r>
        <w:t>Creative production, on-site filming, or video editing is outside this flat management fee unless separately approved.</w:t>
      </w:r>
    </w:p>
    <w:p>
      <w:pPr>
        <w:pStyle w:val="Heading1"/>
      </w:pPr>
      <w:r>
        <w:t>4. Fixed-Cost Investment</w:t>
      </w:r>
    </w:p>
    <w:p>
      <w:pPr>
        <w:pStyle w:val="Heading2"/>
      </w:pPr>
      <w:r>
        <w:t>4.1 One-Time Setup</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E9E5DC"/>
          </w:tcPr>
          <w:p>
            <w:r>
              <w:rPr>
                <w:rFonts w:ascii="Aptos" w:hAnsi="Aptos"/>
                <w:b/>
                <w:sz w:val="18"/>
              </w:rPr>
              <w:t>Item</w:t>
            </w:r>
          </w:p>
        </w:tc>
        <w:tc>
          <w:tcPr>
            <w:tcW w:type="dxa" w:w="3360"/>
            <w:vAlign w:val="top"/>
            <w:shd w:fill="E9E5DC"/>
          </w:tcPr>
          <w:p>
            <w:r>
              <w:rPr>
                <w:rFonts w:ascii="Aptos" w:hAnsi="Aptos"/>
                <w:b/>
                <w:sz w:val="18"/>
              </w:rPr>
              <w:t>Amount</w:t>
            </w:r>
          </w:p>
        </w:tc>
        <w:tc>
          <w:tcPr>
            <w:tcW w:type="dxa" w:w="3360"/>
            <w:vAlign w:val="top"/>
            <w:shd w:fill="E9E5DC"/>
          </w:tcPr>
          <w:p>
            <w:r>
              <w:rPr>
                <w:rFonts w:ascii="Aptos" w:hAnsi="Aptos"/>
                <w:b/>
                <w:sz w:val="18"/>
              </w:rPr>
              <w:t>Billing</w:t>
            </w:r>
          </w:p>
        </w:tc>
      </w:tr>
      <w:tr>
        <w:tc>
          <w:tcPr>
            <w:tcW w:type="dxa" w:w="3360"/>
            <w:vAlign w:val="top"/>
          </w:tcPr>
          <w:p>
            <w:r>
              <w:rPr>
                <w:rFonts w:ascii="Aptos" w:hAnsi="Aptos"/>
                <w:sz w:val="18"/>
              </w:rPr>
              <w:t>Website, rebrand, launch build, migration setup, initial architecture</w:t>
            </w:r>
          </w:p>
        </w:tc>
        <w:tc>
          <w:tcPr>
            <w:tcW w:type="dxa" w:w="3360"/>
            <w:vAlign w:val="top"/>
          </w:tcPr>
          <w:p>
            <w:r>
              <w:rPr>
                <w:rFonts w:ascii="Aptos" w:hAnsi="Aptos"/>
                <w:sz w:val="18"/>
              </w:rPr>
              <w:t>$10,000</w:t>
            </w:r>
          </w:p>
        </w:tc>
        <w:tc>
          <w:tcPr>
            <w:tcW w:type="dxa" w:w="3360"/>
            <w:vAlign w:val="top"/>
          </w:tcPr>
          <w:p>
            <w:r>
              <w:rPr>
                <w:rFonts w:ascii="Aptos" w:hAnsi="Aptos"/>
                <w:sz w:val="18"/>
              </w:rPr>
              <w:t>Due at signing</w:t>
            </w:r>
          </w:p>
        </w:tc>
      </w:tr>
    </w:tbl>
    <w:p/>
    <w:p>
      <w:pPr>
        <w:pStyle w:val="Heading2"/>
      </w:pPr>
      <w:r>
        <w:t>4.2 Monthly Marketing Options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top"/>
            <w:shd w:fill="E9E5DC"/>
          </w:tcPr>
          <w:p>
            <w:r>
              <w:rPr>
                <w:rFonts w:ascii="Aptos" w:hAnsi="Aptos"/>
                <w:b/>
                <w:sz w:val="18"/>
              </w:rPr>
              <w:t>Option</w:t>
            </w:r>
          </w:p>
        </w:tc>
        <w:tc>
          <w:tcPr>
            <w:tcW w:type="dxa" w:w="2520"/>
            <w:vAlign w:val="top"/>
            <w:shd w:fill="E9E5DC"/>
          </w:tcPr>
          <w:p>
            <w:r>
              <w:rPr>
                <w:rFonts w:ascii="Aptos" w:hAnsi="Aptos"/>
                <w:b/>
                <w:sz w:val="18"/>
              </w:rPr>
              <w:t>Monthly fee</w:t>
            </w:r>
          </w:p>
        </w:tc>
        <w:tc>
          <w:tcPr>
            <w:tcW w:type="dxa" w:w="2520"/>
            <w:vAlign w:val="top"/>
            <w:shd w:fill="E9E5DC"/>
          </w:tcPr>
          <w:p>
            <w:r>
              <w:rPr>
                <w:rFonts w:ascii="Aptos" w:hAnsi="Aptos"/>
                <w:b/>
                <w:sz w:val="18"/>
              </w:rPr>
              <w:t>Includes</w:t>
            </w:r>
          </w:p>
        </w:tc>
        <w:tc>
          <w:tcPr>
            <w:tcW w:type="dxa" w:w="2520"/>
            <w:vAlign w:val="top"/>
            <w:shd w:fill="E9E5DC"/>
          </w:tcPr>
          <w:p>
            <w:r>
              <w:rPr>
                <w:rFonts w:ascii="Aptos" w:hAnsi="Aptos"/>
                <w:b/>
                <w:sz w:val="18"/>
              </w:rPr>
              <w:t>Pass-through costs</w:t>
            </w:r>
          </w:p>
        </w:tc>
      </w:tr>
      <w:tr>
        <w:tc>
          <w:tcPr>
            <w:tcW w:type="dxa" w:w="2520"/>
            <w:vAlign w:val="top"/>
          </w:tcPr>
          <w:p>
            <w:r>
              <w:rPr>
                <w:rFonts w:ascii="Aptos" w:hAnsi="Aptos"/>
                <w:sz w:val="18"/>
              </w:rPr>
              <w:t>Option 1: SEO, local, AI visibility, and upkeep</w:t>
            </w:r>
          </w:p>
        </w:tc>
        <w:tc>
          <w:tcPr>
            <w:tcW w:type="dxa" w:w="2520"/>
            <w:vAlign w:val="top"/>
          </w:tcPr>
          <w:p>
            <w:r>
              <w:rPr>
                <w:rFonts w:ascii="Aptos" w:hAnsi="Aptos"/>
                <w:sz w:val="18"/>
              </w:rPr>
              <w:t>$10,250/mo</w:t>
            </w:r>
          </w:p>
        </w:tc>
        <w:tc>
          <w:tcPr>
            <w:tcW w:type="dxa" w:w="2520"/>
            <w:vAlign w:val="top"/>
          </w:tcPr>
          <w:p>
            <w:r>
              <w:rPr>
                <w:rFonts w:ascii="Aptos" w:hAnsi="Aptos"/>
                <w:sz w:val="18"/>
              </w:rPr>
              <w:t>$10,000/mo SEO/local/AI for both locations + $250/mo webmaster/upkeep. No paid ads required.</w:t>
            </w:r>
          </w:p>
        </w:tc>
        <w:tc>
          <w:tcPr>
            <w:tcW w:type="dxa" w:w="2520"/>
            <w:vAlign w:val="top"/>
          </w:tcPr>
          <w:p>
            <w:r>
              <w:rPr>
                <w:rFonts w:ascii="Aptos" w:hAnsi="Aptos"/>
                <w:sz w:val="18"/>
              </w:rPr>
              <w:t>Approved third-party hard costs only</w:t>
            </w:r>
          </w:p>
        </w:tc>
      </w:tr>
      <w:tr>
        <w:tc>
          <w:tcPr>
            <w:tcW w:type="dxa" w:w="2520"/>
            <w:vAlign w:val="top"/>
          </w:tcPr>
          <w:p>
            <w:r>
              <w:rPr>
                <w:rFonts w:ascii="Aptos" w:hAnsi="Aptos"/>
                <w:sz w:val="18"/>
              </w:rPr>
              <w:t>Option 2: Option 1 + Google Ads management</w:t>
            </w:r>
          </w:p>
        </w:tc>
        <w:tc>
          <w:tcPr>
            <w:tcW w:type="dxa" w:w="2520"/>
            <w:vAlign w:val="top"/>
          </w:tcPr>
          <w:p>
            <w:r>
              <w:rPr>
                <w:rFonts w:ascii="Aptos" w:hAnsi="Aptos"/>
                <w:sz w:val="18"/>
              </w:rPr>
              <w:t>$13,250/mo</w:t>
            </w:r>
          </w:p>
        </w:tc>
        <w:tc>
          <w:tcPr>
            <w:tcW w:type="dxa" w:w="2520"/>
            <w:vAlign w:val="top"/>
          </w:tcPr>
          <w:p>
            <w:r>
              <w:rPr>
                <w:rFonts w:ascii="Aptos" w:hAnsi="Aptos"/>
                <w:sz w:val="18"/>
              </w:rPr>
              <w:t>Option 1 + one paid media network at $3,000/mo</w:t>
            </w:r>
          </w:p>
        </w:tc>
        <w:tc>
          <w:tcPr>
            <w:tcW w:type="dxa" w:w="2520"/>
            <w:vAlign w:val="top"/>
          </w:tcPr>
          <w:p>
            <w:r>
              <w:rPr>
                <w:rFonts w:ascii="Aptos" w:hAnsi="Aptos"/>
                <w:sz w:val="18"/>
              </w:rPr>
              <w:t>Google ad spend paid by SD Body</w:t>
            </w:r>
          </w:p>
        </w:tc>
      </w:tr>
      <w:tr>
        <w:tc>
          <w:tcPr>
            <w:tcW w:type="dxa" w:w="2520"/>
            <w:vAlign w:val="top"/>
          </w:tcPr>
          <w:p>
            <w:r>
              <w:rPr>
                <w:rFonts w:ascii="Aptos" w:hAnsi="Aptos"/>
                <w:sz w:val="18"/>
              </w:rPr>
              <w:t>Option 3: Option 1 + Google and Meta management</w:t>
            </w:r>
          </w:p>
        </w:tc>
        <w:tc>
          <w:tcPr>
            <w:tcW w:type="dxa" w:w="2520"/>
            <w:vAlign w:val="top"/>
          </w:tcPr>
          <w:p>
            <w:r>
              <w:rPr>
                <w:rFonts w:ascii="Aptos" w:hAnsi="Aptos"/>
                <w:sz w:val="18"/>
              </w:rPr>
              <w:t>$14,750/mo</w:t>
            </w:r>
          </w:p>
        </w:tc>
        <w:tc>
          <w:tcPr>
            <w:tcW w:type="dxa" w:w="2520"/>
            <w:vAlign w:val="top"/>
          </w:tcPr>
          <w:p>
            <w:r>
              <w:rPr>
                <w:rFonts w:ascii="Aptos" w:hAnsi="Aptos"/>
                <w:sz w:val="18"/>
              </w:rPr>
              <w:t>Option 1 + Google at $3,000/mo + second network at $1,500/mo</w:t>
            </w:r>
          </w:p>
        </w:tc>
        <w:tc>
          <w:tcPr>
            <w:tcW w:type="dxa" w:w="2520"/>
            <w:vAlign w:val="top"/>
          </w:tcPr>
          <w:p>
            <w:r>
              <w:rPr>
                <w:rFonts w:ascii="Aptos" w:hAnsi="Aptos"/>
                <w:sz w:val="18"/>
              </w:rPr>
              <w:t>Google and Meta ad spend paid by SD Body</w:t>
            </w:r>
          </w:p>
        </w:tc>
      </w:tr>
    </w:tbl>
    <w:p/>
    <w:p>
      <w:r>
        <w:t>Paid media scaling rule: for any managed ad network, the management fee becomes 15% of that network's monthly ad spend whenever 15% is higher than the base fee for that network.</w:t>
      </w:r>
    </w:p>
    <w:p>
      <w:pPr>
        <w:pStyle w:val="Heading2"/>
      </w:pPr>
      <w:r>
        <w:t>4.3 Term</w:t>
      </w:r>
    </w:p>
    <w:p>
      <w:pPr>
        <w:pStyle w:val="ListBullet"/>
      </w:pPr>
      <w:r>
        <w:t>Initial term: 12 months.</w:t>
      </w:r>
    </w:p>
    <w:p>
      <w:pPr>
        <w:pStyle w:val="ListBullet"/>
      </w:pPr>
      <w:r>
        <w:t>After the initial term, the engagement renews month to month unless either party gives written notice.</w:t>
      </w:r>
    </w:p>
    <w:p>
      <w:pPr>
        <w:pStyle w:val="ListBullet"/>
      </w:pPr>
      <w:r>
        <w:t>Monthly fees are due at the start of each service month.</w:t>
      </w:r>
    </w:p>
    <w:p>
      <w:pPr>
        <w:pStyle w:val="ListBullet"/>
      </w:pPr>
      <w:r>
        <w:t>Third-party hard costs, paid links, citations, tools, and ad spend require SD Body approval before spend is incurred.</w:t>
      </w:r>
    </w:p>
    <w:p>
      <w:pPr>
        <w:pStyle w:val="Heading1"/>
      </w:pPr>
      <w:r>
        <w:t>5. Flowbots Payment Options</w:t>
      </w:r>
    </w:p>
    <w:p>
      <w:r>
        <w:t>Flowbots is not included in this marketing SOW. It is listed here only so Dr. Shawn and Dr. Alex can see the separate automation decision.</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E9E5DC"/>
          </w:tcPr>
          <w:p>
            <w:r>
              <w:rPr>
                <w:rFonts w:ascii="Aptos" w:hAnsi="Aptos"/>
                <w:b/>
                <w:sz w:val="18"/>
              </w:rPr>
              <w:t>Flowbots option</w:t>
            </w:r>
          </w:p>
        </w:tc>
        <w:tc>
          <w:tcPr>
            <w:tcW w:type="dxa" w:w="3360"/>
            <w:vAlign w:val="top"/>
            <w:shd w:fill="E9E5DC"/>
          </w:tcPr>
          <w:p>
            <w:r>
              <w:rPr>
                <w:rFonts w:ascii="Aptos" w:hAnsi="Aptos"/>
                <w:b/>
                <w:sz w:val="18"/>
              </w:rPr>
              <w:t>Payment structure</w:t>
            </w:r>
          </w:p>
        </w:tc>
        <w:tc>
          <w:tcPr>
            <w:tcW w:type="dxa" w:w="3360"/>
            <w:vAlign w:val="top"/>
            <w:shd w:fill="E9E5DC"/>
          </w:tcPr>
          <w:p>
            <w:r>
              <w:rPr>
                <w:rFonts w:ascii="Aptos" w:hAnsi="Aptos"/>
                <w:b/>
                <w:sz w:val="18"/>
              </w:rPr>
              <w:t>Notes</w:t>
            </w:r>
          </w:p>
        </w:tc>
      </w:tr>
      <w:tr>
        <w:tc>
          <w:tcPr>
            <w:tcW w:type="dxa" w:w="3360"/>
            <w:vAlign w:val="top"/>
          </w:tcPr>
          <w:p>
            <w:r>
              <w:rPr>
                <w:rFonts w:ascii="Aptos" w:hAnsi="Aptos"/>
                <w:sz w:val="18"/>
              </w:rPr>
              <w:t>Preferred monthly payment</w:t>
            </w:r>
          </w:p>
        </w:tc>
        <w:tc>
          <w:tcPr>
            <w:tcW w:type="dxa" w:w="3360"/>
            <w:vAlign w:val="top"/>
          </w:tcPr>
          <w:p>
            <w:r>
              <w:rPr>
                <w:rFonts w:ascii="Aptos" w:hAnsi="Aptos"/>
                <w:sz w:val="18"/>
              </w:rPr>
              <w:t>$5,000/mo due on the 1st</w:t>
            </w:r>
          </w:p>
        </w:tc>
        <w:tc>
          <w:tcPr>
            <w:tcW w:type="dxa" w:w="3360"/>
            <w:vAlign w:val="top"/>
          </w:tcPr>
          <w:p>
            <w:r>
              <w:rPr>
                <w:rFonts w:ascii="Aptos" w:hAnsi="Aptos"/>
                <w:sz w:val="18"/>
              </w:rPr>
              <w:t>Preferred because Flowbots needs the funds at the start of the month to allocate dedicated resources.</w:t>
            </w:r>
          </w:p>
        </w:tc>
      </w:tr>
      <w:tr>
        <w:tc>
          <w:tcPr>
            <w:tcW w:type="dxa" w:w="3360"/>
            <w:vAlign w:val="top"/>
          </w:tcPr>
          <w:p>
            <w:r>
              <w:rPr>
                <w:rFonts w:ascii="Aptos" w:hAnsi="Aptos"/>
                <w:sz w:val="18"/>
              </w:rPr>
              <w:t>Split first-month payment</w:t>
            </w:r>
          </w:p>
        </w:tc>
        <w:tc>
          <w:tcPr>
            <w:tcW w:type="dxa" w:w="3360"/>
            <w:vAlign w:val="top"/>
          </w:tcPr>
          <w:p>
            <w:r>
              <w:rPr>
                <w:rFonts w:ascii="Aptos" w:hAnsi="Aptos"/>
                <w:sz w:val="18"/>
              </w:rPr>
              <w:t>$3,000 to start + $2,000 by the 15th</w:t>
            </w:r>
          </w:p>
        </w:tc>
        <w:tc>
          <w:tcPr>
            <w:tcW w:type="dxa" w:w="3360"/>
            <w:vAlign w:val="top"/>
          </w:tcPr>
          <w:p>
            <w:r>
              <w:rPr>
                <w:rFonts w:ascii="Aptos" w:hAnsi="Aptos"/>
                <w:sz w:val="18"/>
              </w:rPr>
              <w:t>Only if Brian/Flowbots approves. This keeps total Flowbots pricing at $5,000/mo while easing first-month cash flow.</w:t>
            </w:r>
          </w:p>
        </w:tc>
      </w:tr>
      <w:tr>
        <w:tc>
          <w:tcPr>
            <w:tcW w:type="dxa" w:w="3360"/>
            <w:vAlign w:val="top"/>
          </w:tcPr>
          <w:p>
            <w:r>
              <w:rPr>
                <w:rFonts w:ascii="Aptos" w:hAnsi="Aptos"/>
                <w:sz w:val="18"/>
              </w:rPr>
              <w:t>Magister pass-through bridge</w:t>
            </w:r>
          </w:p>
        </w:tc>
        <w:tc>
          <w:tcPr>
            <w:tcW w:type="dxa" w:w="3360"/>
            <w:vAlign w:val="top"/>
          </w:tcPr>
          <w:p>
            <w:r>
              <w:rPr>
                <w:rFonts w:ascii="Aptos" w:hAnsi="Aptos"/>
                <w:sz w:val="18"/>
              </w:rPr>
              <w:t>Magister invoices SD Body separately for $5,000 and transfers directly to Flowbots</w:t>
            </w:r>
          </w:p>
        </w:tc>
        <w:tc>
          <w:tcPr>
            <w:tcW w:type="dxa" w:w="3360"/>
            <w:vAlign w:val="top"/>
          </w:tcPr>
          <w:p>
            <w:r>
              <w:rPr>
                <w:rFonts w:ascii="Aptos" w:hAnsi="Aptos"/>
                <w:sz w:val="18"/>
              </w:rPr>
              <w:t>Use only if the parties want Magister to bridge the first Flowbots build/payment. It remains separate from this marketing SOW.</w:t>
            </w:r>
          </w:p>
        </w:tc>
      </w:tr>
    </w:tbl>
    <w:p/>
    <w:p>
      <w:r>
        <w:t>Flowbots is automation infrastructure: follow-up, operational workflows, and AI/CRM support. Marketing is patient acquisition, search visibility, paid media, and website growth. They support each other, but they are not the same scope, invoice, or approval decision.</w:t>
      </w:r>
    </w:p>
    <w:p>
      <w:pPr>
        <w:pStyle w:val="Heading1"/>
      </w:pPr>
      <w:r>
        <w:t>6. Rev-Share Lane Stays Separate</w:t>
      </w:r>
    </w:p>
    <w:p>
      <w:r>
        <w:t>The rev-share or performance-based lane is an alternative marketing structure, not an add-on to this fixed-cost SOW.</w:t>
      </w:r>
    </w:p>
    <w:p>
      <w:r>
        <w:t>If SD Body chooses the performance lane instead of this fixed-cost lane:</w:t>
      </w:r>
    </w:p>
    <w:p>
      <w:pPr>
        <w:pStyle w:val="ListBullet"/>
      </w:pPr>
      <w:r>
        <w:t>Glow Pilots earns nothing until the practice reaches the agreed revenue threshold, currently discussed at $175,000/mo.</w:t>
      </w:r>
    </w:p>
    <w:p>
      <w:pPr>
        <w:pStyle w:val="ListBullet"/>
      </w:pPr>
      <w:r>
        <w:t>The relationship rate starts at $2,500/mo per location, or $5,000/mo for both current locations.</w:t>
      </w:r>
    </w:p>
    <w:p>
      <w:pPr>
        <w:pStyle w:val="ListBullet"/>
      </w:pPr>
      <w:r>
        <w:t>Paid media management is included while that performance plan is in place.</w:t>
      </w:r>
    </w:p>
    <w:p>
      <w:pPr>
        <w:pStyle w:val="ListBullet"/>
      </w:pPr>
      <w:r>
        <w:t>Any fee scaling after that is set only by written agreement.</w:t>
      </w:r>
    </w:p>
    <w:p>
      <w:pPr>
        <w:pStyle w:val="ListBullet"/>
      </w:pPr>
      <w:r>
        <w:t>Dr. Alex still needs to approve the revenue-based marketing economics.</w:t>
      </w:r>
    </w:p>
    <w:p>
      <w:r>
        <w:t>If SD Body chooses this fixed-cost SOW, there is no revenue share, no upside participation, and no variable marketing compensation tied to revenue.</w:t>
      </w:r>
    </w:p>
    <w:p>
      <w:pPr>
        <w:pStyle w:val="Heading1"/>
      </w:pPr>
      <w:r>
        <w:t>7. Timeline</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E9E5DC"/>
          </w:tcPr>
          <w:p>
            <w:r>
              <w:rPr>
                <w:rFonts w:ascii="Aptos" w:hAnsi="Aptos"/>
                <w:b/>
                <w:sz w:val="18"/>
              </w:rPr>
              <w:t>Phase</w:t>
            </w:r>
          </w:p>
        </w:tc>
        <w:tc>
          <w:tcPr>
            <w:tcW w:type="dxa" w:w="3360"/>
            <w:vAlign w:val="top"/>
            <w:shd w:fill="E9E5DC"/>
          </w:tcPr>
          <w:p>
            <w:r>
              <w:rPr>
                <w:rFonts w:ascii="Aptos" w:hAnsi="Aptos"/>
                <w:b/>
                <w:sz w:val="18"/>
              </w:rPr>
              <w:t>Timing</w:t>
            </w:r>
          </w:p>
        </w:tc>
        <w:tc>
          <w:tcPr>
            <w:tcW w:type="dxa" w:w="3360"/>
            <w:vAlign w:val="top"/>
            <w:shd w:fill="E9E5DC"/>
          </w:tcPr>
          <w:p>
            <w:r>
              <w:rPr>
                <w:rFonts w:ascii="Aptos" w:hAnsi="Aptos"/>
                <w:b/>
                <w:sz w:val="18"/>
              </w:rPr>
              <w:t>What happens</w:t>
            </w:r>
          </w:p>
        </w:tc>
      </w:tr>
      <w:tr>
        <w:tc>
          <w:tcPr>
            <w:tcW w:type="dxa" w:w="3360"/>
            <w:vAlign w:val="top"/>
          </w:tcPr>
          <w:p>
            <w:r>
              <w:rPr>
                <w:rFonts w:ascii="Aptos" w:hAnsi="Aptos"/>
                <w:sz w:val="18"/>
              </w:rPr>
              <w:t>Pre-kickoff</w:t>
            </w:r>
          </w:p>
        </w:tc>
        <w:tc>
          <w:tcPr>
            <w:tcW w:type="dxa" w:w="3360"/>
            <w:vAlign w:val="top"/>
          </w:tcPr>
          <w:p>
            <w:r>
              <w:rPr>
                <w:rFonts w:ascii="Aptos" w:hAnsi="Aptos"/>
                <w:sz w:val="18"/>
              </w:rPr>
              <w:t>Before July 6, 2026 if possible</w:t>
            </w:r>
          </w:p>
        </w:tc>
        <w:tc>
          <w:tcPr>
            <w:tcW w:type="dxa" w:w="3360"/>
            <w:vAlign w:val="top"/>
          </w:tcPr>
          <w:p>
            <w:r>
              <w:rPr>
                <w:rFonts w:ascii="Aptos" w:hAnsi="Aptos"/>
                <w:sz w:val="18"/>
              </w:rPr>
              <w:t>Signed option, first payment, core access list started before Dr. Shawn leaves for Europe.</w:t>
            </w:r>
          </w:p>
        </w:tc>
      </w:tr>
      <w:tr>
        <w:tc>
          <w:tcPr>
            <w:tcW w:type="dxa" w:w="3360"/>
            <w:vAlign w:val="top"/>
          </w:tcPr>
          <w:p>
            <w:r>
              <w:rPr>
                <w:rFonts w:ascii="Aptos" w:hAnsi="Aptos"/>
                <w:sz w:val="18"/>
              </w:rPr>
              <w:t>Rebrand migration</w:t>
            </w:r>
          </w:p>
        </w:tc>
        <w:tc>
          <w:tcPr>
            <w:tcW w:type="dxa" w:w="3360"/>
            <w:vAlign w:val="top"/>
          </w:tcPr>
          <w:p>
            <w:r>
              <w:rPr>
                <w:rFonts w:ascii="Aptos" w:hAnsi="Aptos"/>
                <w:sz w:val="18"/>
              </w:rPr>
              <w:t>Days 0-30</w:t>
            </w:r>
          </w:p>
        </w:tc>
        <w:tc>
          <w:tcPr>
            <w:tcW w:type="dxa" w:w="3360"/>
            <w:vAlign w:val="top"/>
          </w:tcPr>
          <w:p>
            <w:r>
              <w:rPr>
                <w:rFonts w:ascii="Aptos" w:hAnsi="Aptos"/>
                <w:sz w:val="18"/>
              </w:rPr>
              <w:t>Redirect mapping/testing, GBP and citation updates, schema foundation, rank monitoring begins.</w:t>
            </w:r>
          </w:p>
        </w:tc>
      </w:tr>
      <w:tr>
        <w:tc>
          <w:tcPr>
            <w:tcW w:type="dxa" w:w="3360"/>
            <w:vAlign w:val="top"/>
          </w:tcPr>
          <w:p>
            <w:r>
              <w:rPr>
                <w:rFonts w:ascii="Aptos" w:hAnsi="Aptos"/>
                <w:sz w:val="18"/>
              </w:rPr>
              <w:t>Content architecture</w:t>
            </w:r>
          </w:p>
        </w:tc>
        <w:tc>
          <w:tcPr>
            <w:tcW w:type="dxa" w:w="3360"/>
            <w:vAlign w:val="top"/>
          </w:tcPr>
          <w:p>
            <w:r>
              <w:rPr>
                <w:rFonts w:ascii="Aptos" w:hAnsi="Aptos"/>
                <w:sz w:val="18"/>
              </w:rPr>
              <w:t>Days 31-60</w:t>
            </w:r>
          </w:p>
        </w:tc>
        <w:tc>
          <w:tcPr>
            <w:tcW w:type="dxa" w:w="3360"/>
            <w:vAlign w:val="top"/>
          </w:tcPr>
          <w:p>
            <w:r>
              <w:rPr>
                <w:rFonts w:ascii="Aptos" w:hAnsi="Aptos"/>
                <w:sz w:val="18"/>
              </w:rPr>
              <w:t>Service pages, location pages, provider authority content, internal linking.</w:t>
            </w:r>
          </w:p>
        </w:tc>
      </w:tr>
      <w:tr>
        <w:tc>
          <w:tcPr>
            <w:tcW w:type="dxa" w:w="3360"/>
            <w:vAlign w:val="top"/>
          </w:tcPr>
          <w:p>
            <w:r>
              <w:rPr>
                <w:rFonts w:ascii="Aptos" w:hAnsi="Aptos"/>
                <w:sz w:val="18"/>
              </w:rPr>
              <w:t>Authority and local</w:t>
            </w:r>
          </w:p>
        </w:tc>
        <w:tc>
          <w:tcPr>
            <w:tcW w:type="dxa" w:w="3360"/>
            <w:vAlign w:val="top"/>
          </w:tcPr>
          <w:p>
            <w:r>
              <w:rPr>
                <w:rFonts w:ascii="Aptos" w:hAnsi="Aptos"/>
                <w:sz w:val="18"/>
              </w:rPr>
              <w:t>Days 61-90</w:t>
            </w:r>
          </w:p>
        </w:tc>
        <w:tc>
          <w:tcPr>
            <w:tcW w:type="dxa" w:w="3360"/>
            <w:vAlign w:val="top"/>
          </w:tcPr>
          <w:p>
            <w:r>
              <w:rPr>
                <w:rFonts w:ascii="Aptos" w:hAnsi="Aptos"/>
                <w:sz w:val="18"/>
              </w:rPr>
              <w:t>Review workflow, local/medical authority, AI-citable FAQs and service answers.</w:t>
            </w:r>
          </w:p>
        </w:tc>
      </w:tr>
      <w:tr>
        <w:tc>
          <w:tcPr>
            <w:tcW w:type="dxa" w:w="3360"/>
            <w:vAlign w:val="top"/>
          </w:tcPr>
          <w:p>
            <w:r>
              <w:rPr>
                <w:rFonts w:ascii="Aptos" w:hAnsi="Aptos"/>
                <w:sz w:val="18"/>
              </w:rPr>
              <w:t>Paid media</w:t>
            </w:r>
          </w:p>
        </w:tc>
        <w:tc>
          <w:tcPr>
            <w:tcW w:type="dxa" w:w="3360"/>
            <w:vAlign w:val="top"/>
          </w:tcPr>
          <w:p>
            <w:r>
              <w:rPr>
                <w:rFonts w:ascii="Aptos" w:hAnsi="Aptos"/>
                <w:sz w:val="18"/>
              </w:rPr>
              <w:t>When approved</w:t>
            </w:r>
          </w:p>
        </w:tc>
        <w:tc>
          <w:tcPr>
            <w:tcW w:type="dxa" w:w="3360"/>
            <w:vAlign w:val="top"/>
          </w:tcPr>
          <w:p>
            <w:r>
              <w:rPr>
                <w:rFonts w:ascii="Aptos" w:hAnsi="Aptos"/>
                <w:sz w:val="18"/>
              </w:rPr>
              <w:t>Google and/or Meta campaigns launch only when ad accounts, spend cap, landing pages, and tracking are ready.</w:t>
            </w:r>
          </w:p>
        </w:tc>
      </w:tr>
    </w:tbl>
    <w:p/>
    <w:p>
      <w:pPr>
        <w:pStyle w:val="Heading1"/>
      </w:pPr>
      <w:r>
        <w:t>8. What SD Body Provides</w:t>
      </w:r>
    </w:p>
    <w:p>
      <w:r>
        <w:t>SD Body will provide:</w:t>
      </w:r>
    </w:p>
    <w:p>
      <w:pPr>
        <w:pStyle w:val="ListBullet"/>
      </w:pPr>
      <w:r>
        <w:t>Admin access to both Google Business Profiles.</w:t>
      </w:r>
    </w:p>
    <w:p>
      <w:pPr>
        <w:pStyle w:val="ListBullet"/>
      </w:pPr>
      <w:r>
        <w:t>Website, hosting, DNS, and domain access for sdbody.com and hormonesbysdb.com.</w:t>
      </w:r>
    </w:p>
    <w:p>
      <w:pPr>
        <w:pStyle w:val="ListBullet"/>
      </w:pPr>
      <w:r>
        <w:t>Google Search Console and Google Analytics access, or permission to create them.</w:t>
      </w:r>
    </w:p>
    <w:p>
      <w:pPr>
        <w:pStyle w:val="ListBullet"/>
      </w:pPr>
      <w:r>
        <w:t>Google Ads and Meta Business Manager access if paid media is selected.</w:t>
      </w:r>
    </w:p>
    <w:p>
      <w:pPr>
        <w:pStyle w:val="ListBullet"/>
      </w:pPr>
      <w:r>
        <w:t>Logo files, brand colors, existing photography, and available video.</w:t>
      </w:r>
    </w:p>
    <w:p>
      <w:pPr>
        <w:pStyle w:val="ListBullet"/>
      </w:pPr>
      <w:r>
        <w:t>Provider names, titles, board certifications, credentials, and short bios for accurate medical/provider markup.</w:t>
      </w:r>
    </w:p>
    <w:p>
      <w:pPr>
        <w:pStyle w:val="ListBullet"/>
      </w:pPr>
      <w:r>
        <w:t>A single approval contact for launch decisions and feedback.</w:t>
      </w:r>
    </w:p>
    <w:p>
      <w:pPr>
        <w:pStyle w:val="Heading1"/>
      </w:pPr>
      <w:r>
        <w:t>9. Terms</w:t>
      </w:r>
    </w:p>
    <w:p>
      <w:pPr>
        <w:pStyle w:val="Heading2"/>
      </w:pPr>
      <w:r>
        <w:t>Scope and Changes</w:t>
      </w:r>
    </w:p>
    <w:p>
      <w:r>
        <w:t>This SOW covers the work described above. Material changes are handled by written change order at $150/hr or by fixed written quote before work begins.</w:t>
      </w:r>
    </w:p>
    <w:p>
      <w:pPr>
        <w:pStyle w:val="Heading2"/>
      </w:pPr>
      <w:r>
        <w:t>Ownership</w:t>
      </w:r>
    </w:p>
    <w:p>
      <w:r>
        <w:t>After payment in full, SD Body owns the custom work created for this project. Third-party assets, tools, platforms, and software remain governed by their own terms.</w:t>
      </w:r>
    </w:p>
    <w:p>
      <w:pPr>
        <w:pStyle w:val="Heading2"/>
      </w:pPr>
      <w:r>
        <w:t>Warranty and Support</w:t>
      </w:r>
    </w:p>
    <w:p>
      <w:r>
        <w:t>For 30 days after launch, Glow Pilots fixes defects in delivered work at no charge. The warranty does not cover new requests, third-party platform changes, content changes, or changes made by SD Body after delivery. Post-warranty support is $150/hr unless covered by the monthly upkeep plan.</w:t>
      </w:r>
    </w:p>
    <w:p>
      <w:pPr>
        <w:pStyle w:val="Heading2"/>
      </w:pPr>
      <w:r>
        <w:t>Outcomes</w:t>
      </w:r>
    </w:p>
    <w:p>
      <w:r>
        <w:t>Glow Pilots will perform the work professionally and on schedule when access and approvals are timely. Glow Pilots does not guarantee specific rankings, lead volume, booking rate, revenue, or platform approval outcomes.</w:t>
      </w:r>
    </w:p>
    <w:p>
      <w:pPr>
        <w:pStyle w:val="Heading2"/>
      </w:pPr>
      <w:r>
        <w:t>Healthcare and Privacy</w:t>
      </w:r>
    </w:p>
    <w:p>
      <w:r>
        <w:t>Glow Pilots acknowledges that SD Body operates in a healthcare environment. Marketing workflows will be designed with privacy awareness. SD Body remains responsible for confirming its own HIPAA, patient-data, and healthcare advertising compliance before using patient data or claims in marketing.</w:t>
      </w:r>
    </w:p>
    <w:p>
      <w:pPr>
        <w:pStyle w:val="Heading2"/>
      </w:pPr>
      <w:r>
        <w:t>Confidentiality</w:t>
      </w:r>
    </w:p>
    <w:p>
      <w:r>
        <w:t>Both parties will keep non-public business, pricing, strategy, and workflow information confidential.</w:t>
      </w:r>
    </w:p>
    <w:p>
      <w:pPr>
        <w:pStyle w:val="Heading2"/>
      </w:pPr>
      <w:r>
        <w:t>Governing Law</w:t>
      </w:r>
    </w:p>
    <w:p>
      <w:r>
        <w:t>This SOW is governed by California law. Disputes that cannot be resolved through good-faith discussion will be handled in San Diego County, California.</w:t>
      </w:r>
    </w:p>
    <w:p>
      <w:pPr>
        <w:pStyle w:val="Heading1"/>
      </w:pPr>
      <w:r>
        <w:t>10. Acceptance</w:t>
      </w:r>
    </w:p>
    <w:p>
      <w:r>
        <w:t>Selected fixed-cost marketing option:</w:t>
      </w:r>
    </w:p>
    <w:p>
      <w:pPr>
        <w:pStyle w:val="ListBullet"/>
      </w:pPr>
      <w:r>
        <w:t>- [ ] Option 1: SEO, local, AI visibility, and upkeep - $10,250/mo + $10,000 setup</w:t>
      </w:r>
    </w:p>
    <w:p>
      <w:pPr>
        <w:pStyle w:val="ListBullet"/>
      </w:pPr>
      <w:r>
        <w:t>- [ ] Option 2: Option 1 + Google Ads management - $13,250/mo + $10,000 setup + Google ad spend</w:t>
      </w:r>
    </w:p>
    <w:p>
      <w:pPr>
        <w:pStyle w:val="ListBullet"/>
      </w:pPr>
      <w:r>
        <w:t>- [ ] Option 3: Option 1 + Google and Meta management - $14,750/mo + $10,000 setup + ad spend</w:t>
      </w:r>
    </w:p>
    <w:p>
      <w:r>
        <w:t>Separate Flowbots option, if selected:</w:t>
      </w:r>
    </w:p>
    <w:p>
      <w:pPr>
        <w:pStyle w:val="ListBullet"/>
      </w:pPr>
      <w:r>
        <w:t>- [ ] Preferred monthly payment - $5,000/mo due on the 1st</w:t>
      </w:r>
    </w:p>
    <w:p>
      <w:pPr>
        <w:pStyle w:val="ListBullet"/>
      </w:pPr>
      <w:r>
        <w:t>- [ ] Split first-month payment - $3,000 to start + $2,000 by the 15th, subject to Brian/Flowbots approval</w:t>
      </w:r>
    </w:p>
    <w:p>
      <w:pPr>
        <w:pStyle w:val="ListBullet"/>
      </w:pPr>
      <w:r>
        <w:t>- [ ] Magister pass-through bridge - separate $5,000 Flowbots invoice, transferred directly to Flowbots</w:t>
      </w:r>
    </w:p>
    <w:p>
      <w:pPr>
        <w:pStyle w:val="ListBullet"/>
      </w:pPr>
      <w:r>
        <w:t>- [ ] Not selecting Flowbots at this time</w:t>
      </w:r>
    </w:p>
    <w:tbl>
      <w:tblPr>
        <w:tblStyle w:val="TableGrid"/>
        <w:tblW w:type="auto" w:w="0"/>
        <w:jc w:val="center"/>
        <w:tblLook w:firstColumn="1" w:firstRow="1" w:lastColumn="0" w:lastRow="0" w:noHBand="0" w:noVBand="1" w:val="04A0"/>
      </w:tblPr>
      <w:tblGrid>
        <w:gridCol w:w="5040"/>
        <w:gridCol w:w="5040"/>
      </w:tblGrid>
      <w:tr>
        <w:tc>
          <w:tcPr>
            <w:tcW w:type="dxa" w:w="5040"/>
            <w:vAlign w:val="top"/>
            <w:shd w:fill="E9E5DC"/>
          </w:tcPr>
          <w:p>
            <w:r>
              <w:rPr>
                <w:rFonts w:ascii="Aptos" w:hAnsi="Aptos"/>
                <w:b/>
                <w:sz w:val="18"/>
              </w:rPr>
              <w:t>Glow Pilots / Magister Digital AI</w:t>
            </w:r>
          </w:p>
        </w:tc>
        <w:tc>
          <w:tcPr>
            <w:tcW w:type="dxa" w:w="5040"/>
            <w:vAlign w:val="top"/>
            <w:shd w:fill="E9E5DC"/>
          </w:tcPr>
          <w:p>
            <w:r>
              <w:rPr>
                <w:rFonts w:ascii="Aptos" w:hAnsi="Aptos"/>
                <w:b/>
                <w:sz w:val="18"/>
              </w:rPr>
              <w:t>SD Body</w:t>
            </w:r>
          </w:p>
        </w:tc>
      </w:tr>
      <w:tr>
        <w:tc>
          <w:tcPr>
            <w:tcW w:type="dxa" w:w="5040"/>
            <w:vAlign w:val="top"/>
          </w:tcPr>
          <w:p>
            <w:r>
              <w:rPr>
                <w:rFonts w:ascii="Aptos" w:hAnsi="Aptos"/>
                <w:sz w:val="18"/>
              </w:rPr>
              <w:t xml:space="preserve">Signature: </w:t>
            </w:r>
          </w:p>
        </w:tc>
        <w:tc>
          <w:tcPr>
            <w:tcW w:type="dxa" w:w="5040"/>
            <w:vAlign w:val="top"/>
          </w:tcPr>
          <w:p>
            <w:r>
              <w:rPr>
                <w:rFonts w:ascii="Aptos" w:hAnsi="Aptos"/>
                <w:sz w:val="18"/>
              </w:rPr>
              <w:t xml:space="preserve">Signature: </w:t>
            </w:r>
          </w:p>
        </w:tc>
      </w:tr>
      <w:tr>
        <w:tc>
          <w:tcPr>
            <w:tcW w:type="dxa" w:w="5040"/>
            <w:vAlign w:val="top"/>
          </w:tcPr>
          <w:p>
            <w:r>
              <w:rPr>
                <w:rFonts w:ascii="Aptos" w:hAnsi="Aptos"/>
                <w:sz w:val="18"/>
              </w:rPr>
              <w:t>Name: Dimitry Morgan</w:t>
            </w:r>
          </w:p>
        </w:tc>
        <w:tc>
          <w:tcPr>
            <w:tcW w:type="dxa" w:w="5040"/>
            <w:vAlign w:val="top"/>
          </w:tcPr>
          <w:p>
            <w:r>
              <w:rPr>
                <w:rFonts w:ascii="Aptos" w:hAnsi="Aptos"/>
                <w:sz w:val="18"/>
              </w:rPr>
              <w:t>Name: Dr. Shawn Vedamani</w:t>
            </w:r>
          </w:p>
        </w:tc>
      </w:tr>
      <w:tr>
        <w:tc>
          <w:tcPr>
            <w:tcW w:type="dxa" w:w="5040"/>
            <w:vAlign w:val="top"/>
          </w:tcPr>
          <w:p>
            <w:r>
              <w:rPr>
                <w:rFonts w:ascii="Aptos" w:hAnsi="Aptos"/>
                <w:sz w:val="18"/>
              </w:rPr>
              <w:t>Title: Managing Partner</w:t>
            </w:r>
          </w:p>
        </w:tc>
        <w:tc>
          <w:tcPr>
            <w:tcW w:type="dxa" w:w="5040"/>
            <w:vAlign w:val="top"/>
          </w:tcPr>
          <w:p>
            <w:r>
              <w:rPr>
                <w:rFonts w:ascii="Aptos" w:hAnsi="Aptos"/>
                <w:sz w:val="18"/>
              </w:rPr>
              <w:t xml:space="preserve">Title: </w:t>
            </w:r>
          </w:p>
        </w:tc>
      </w:tr>
      <w:tr>
        <w:tc>
          <w:tcPr>
            <w:tcW w:type="dxa" w:w="5040"/>
            <w:vAlign w:val="top"/>
          </w:tcPr>
          <w:p>
            <w:r>
              <w:rPr>
                <w:rFonts w:ascii="Aptos" w:hAnsi="Aptos"/>
                <w:sz w:val="18"/>
              </w:rPr>
              <w:t xml:space="preserve">Date: </w:t>
            </w:r>
          </w:p>
        </w:tc>
        <w:tc>
          <w:tcPr>
            <w:tcW w:type="dxa" w:w="5040"/>
            <w:vAlign w:val="top"/>
          </w:tcPr>
          <w:p>
            <w:r>
              <w:rPr>
                <w:rFonts w:ascii="Aptos" w:hAnsi="Aptos"/>
                <w:sz w:val="18"/>
              </w:rPr>
              <w:t xml:space="preserve">Date: </w:t>
            </w:r>
          </w:p>
        </w:tc>
      </w:tr>
    </w:tbl>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Body Fixed-Cost Alternative Statement of Work</dc:title>
  <dc:subject>Fixed-cost alternative to the SD Body performance marketing SOW</dc:subject>
  <dc:creator>Magister Digital AI</dc:creator>
  <cp:keywords/>
  <dc:description>generated by python-docx</dc:description>
  <cp:lastModifiedBy/>
  <cp:revision>1</cp:revision>
  <dcterms:created xsi:type="dcterms:W3CDTF">2013-12-23T23:15:00Z</dcterms:created>
  <dcterms:modified xsi:type="dcterms:W3CDTF">2013-12-23T23:15:00Z</dcterms:modified>
  <cp:category/>
</cp:coreProperties>
</file>